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2C21DA" w:rsidRDefault="000F3249" w:rsidP="002C21DA">
      <w:pPr>
        <w:pStyle w:val="Sinespaciado"/>
        <w:rPr>
          <w:rFonts w:eastAsia="Arial"/>
          <w:b/>
          <w:color w:val="000000"/>
        </w:rPr>
      </w:pPr>
      <w:r w:rsidRPr="002C21DA">
        <w:rPr>
          <w:rFonts w:eastAsia="Arial"/>
          <w:b/>
          <w:color w:val="000000"/>
        </w:rPr>
        <w:t xml:space="preserve">TEXTO DEFINITIVO APROBADO EN PRIMER DEBATE DEL </w:t>
      </w:r>
      <w:r w:rsidRPr="002C21DA">
        <w:rPr>
          <w:rFonts w:eastAsia="Arial"/>
          <w:b/>
        </w:rPr>
        <w:t xml:space="preserve">PROYECTO DE LEY </w:t>
      </w:r>
      <w:r w:rsidR="00555F1B" w:rsidRPr="000C2D3F">
        <w:rPr>
          <w:rFonts w:cs="Arial"/>
          <w:b/>
          <w:bCs/>
        </w:rPr>
        <w:t xml:space="preserve">No. 159 DE 2024 CÁMARA </w:t>
      </w:r>
      <w:r w:rsidR="00555F1B" w:rsidRPr="0042747F">
        <w:rPr>
          <w:rFonts w:cs="Arial"/>
          <w:b/>
          <w:bCs/>
        </w:rPr>
        <w:t>“POR MEDIO DE LA CUAL SE ESTABLECEN MEDIDAS PARA VIGILAR EL CUMPLIMIENTO DE LA LEY 2214 DE 2022 Y SE DICTAN OTRAS DISPOSICIONES”.</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6079BE">
        <w:rPr>
          <w:rFonts w:cs="Arial"/>
        </w:rPr>
        <w:t xml:space="preserve">13 de mayo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6079BE">
        <w:rPr>
          <w:rFonts w:cs="Arial"/>
        </w:rPr>
        <w:t>30</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tbl>
      <w:tblPr>
        <w:tblStyle w:val="TableNormal1"/>
        <w:tblW w:w="9493" w:type="dxa"/>
        <w:tblInd w:w="5" w:type="dxa"/>
        <w:tblLook w:val="04A0" w:firstRow="1" w:lastRow="0" w:firstColumn="1" w:lastColumn="0" w:noHBand="0" w:noVBand="1"/>
      </w:tblPr>
      <w:tblGrid>
        <w:gridCol w:w="9493"/>
      </w:tblGrid>
      <w:tr w:rsidR="00555F1B" w:rsidRPr="00555F1B" w:rsidTr="00FD05E2">
        <w:trPr>
          <w:trHeight w:val="1059"/>
        </w:trPr>
        <w:tc>
          <w:tcPr>
            <w:tcW w:w="9493" w:type="dxa"/>
          </w:tcPr>
          <w:p w:rsidR="00555F1B" w:rsidRPr="00555F1B" w:rsidRDefault="00555F1B" w:rsidP="00555F1B">
            <w:pPr>
              <w:pStyle w:val="Sinespaciado"/>
            </w:pPr>
            <w:r w:rsidRPr="00555F1B">
              <w:rPr>
                <w:b/>
              </w:rPr>
              <w:t xml:space="preserve">ARTÍCULO 1°. OBJETO. </w:t>
            </w:r>
            <w:r w:rsidRPr="00555F1B">
              <w:t>La presente ley tiene por objeto establecer medidas de inspección y vigilancia frente al cumplimiento de las prerrogativas consagradas en la Ley 2214 de 2022 sobre la eliminación del requisito de experiencia laboral para los cargos del sector público, destinados a jóvenes entre los 18 y 28 años.</w:t>
            </w:r>
          </w:p>
        </w:tc>
      </w:tr>
      <w:tr w:rsidR="00555F1B" w:rsidRPr="00555F1B" w:rsidTr="00FD05E2">
        <w:trPr>
          <w:trHeight w:val="1646"/>
        </w:trPr>
        <w:tc>
          <w:tcPr>
            <w:tcW w:w="9493" w:type="dxa"/>
          </w:tcPr>
          <w:p w:rsidR="00555F1B" w:rsidRDefault="00555F1B" w:rsidP="00555F1B">
            <w:pPr>
              <w:pStyle w:val="Sinespaciado"/>
              <w:rPr>
                <w:b/>
              </w:rPr>
            </w:pPr>
          </w:p>
          <w:p w:rsidR="00806455" w:rsidRPr="00806455" w:rsidRDefault="00806455" w:rsidP="00806455">
            <w:pPr>
              <w:pStyle w:val="Sinespaciado"/>
            </w:pPr>
            <w:r w:rsidRPr="00806455">
              <w:rPr>
                <w:b/>
              </w:rPr>
              <w:t>ARTÍCULO 2° VIGILANCIA POR PARTE DEL DEPARTAMENTO ADMINISTRATIVO DE FUNCIÓN PÚBLICA:</w:t>
            </w:r>
            <w:r w:rsidRPr="00806455">
              <w:t xml:space="preserve"> El Departamento Administrativo de Función Pública será la entidad encargada de vigilar el cabal cumplimiento de lo señalado en la Ley 2214 del año 2022 inherente al cumplimiento de los postulados que buscan incentivar el empleo juvenil.</w:t>
            </w:r>
          </w:p>
          <w:p w:rsidR="00806455" w:rsidRPr="00806455" w:rsidRDefault="00806455" w:rsidP="00806455">
            <w:pPr>
              <w:pStyle w:val="Sinespaciado"/>
            </w:pPr>
          </w:p>
          <w:p w:rsidR="00806455" w:rsidRPr="00806455" w:rsidRDefault="00806455" w:rsidP="00806455">
            <w:pPr>
              <w:pStyle w:val="Sinespaciado"/>
            </w:pPr>
            <w:r w:rsidRPr="00806455">
              <w:rPr>
                <w:b/>
              </w:rPr>
              <w:t>PARÁGRAFO:</w:t>
            </w:r>
            <w:r w:rsidRPr="00806455">
              <w:t xml:space="preserve"> Este departamento administrativo deberá enviar dentro de los tres primeros meses de cada anualidad, un informe detallado a las Comisiones Séptimas del Congreso de la República, sobre el cumplimiento de la Ley 2214 de 2022.</w:t>
            </w:r>
          </w:p>
          <w:p w:rsidR="00555F1B" w:rsidRPr="00555F1B" w:rsidRDefault="00555F1B" w:rsidP="00555F1B">
            <w:pPr>
              <w:pStyle w:val="Sinespaciado"/>
            </w:pPr>
          </w:p>
        </w:tc>
      </w:tr>
      <w:tr w:rsidR="00555F1B" w:rsidRPr="00555F1B" w:rsidTr="00FD05E2">
        <w:trPr>
          <w:trHeight w:val="1748"/>
        </w:trPr>
        <w:tc>
          <w:tcPr>
            <w:tcW w:w="9493" w:type="dxa"/>
          </w:tcPr>
          <w:p w:rsidR="00555F1B" w:rsidRPr="00555F1B" w:rsidRDefault="00555F1B" w:rsidP="00555F1B">
            <w:pPr>
              <w:pStyle w:val="Sinespaciado"/>
            </w:pPr>
            <w:r w:rsidRPr="00555F1B">
              <w:rPr>
                <w:b/>
              </w:rPr>
              <w:t xml:space="preserve">ARTÍCULO </w:t>
            </w:r>
            <w:r w:rsidRPr="00555F1B">
              <w:rPr>
                <w:b/>
                <w:bCs/>
              </w:rPr>
              <w:t>3</w:t>
            </w:r>
            <w:r w:rsidRPr="00555F1B">
              <w:rPr>
                <w:b/>
              </w:rPr>
              <w:t xml:space="preserve">. ARMONIZACIÓN ENTRE EL SISTEMA EDUCATIVO Y LOS NUEVOS MODELOS LABORALES:  </w:t>
            </w:r>
            <w:r w:rsidRPr="00555F1B">
              <w:t>El Gobierno Nacional a través del Ministerio de Trabajo y el Ministerio de Educación deberá incrementar e incentivar la inversión para mejorar el acceso a programas de enseñanza de calidad y de desarrollo de competencias, que en colaboración con el Servicio Nacional de Aprendizaje (SENA), elaborarán enfoques específicos que potencien las habilidades de los jóvenes con las necesidades que demanda el nuevo mercado laboral y empresarial en sectores emergentes como economía digital y creativa, entre otros.</w:t>
            </w:r>
          </w:p>
        </w:tc>
      </w:tr>
      <w:tr w:rsidR="00555F1B" w:rsidRPr="00555F1B" w:rsidTr="00FD05E2">
        <w:trPr>
          <w:trHeight w:val="750"/>
        </w:trPr>
        <w:tc>
          <w:tcPr>
            <w:tcW w:w="9493" w:type="dxa"/>
          </w:tcPr>
          <w:p w:rsidR="00555F1B" w:rsidRDefault="00555F1B" w:rsidP="00555F1B">
            <w:pPr>
              <w:pStyle w:val="Sinespaciado"/>
              <w:rPr>
                <w:b/>
              </w:rPr>
            </w:pPr>
          </w:p>
          <w:p w:rsidR="00555F1B" w:rsidRPr="00555F1B" w:rsidRDefault="00555F1B" w:rsidP="00555F1B">
            <w:pPr>
              <w:pStyle w:val="Sinespaciado"/>
            </w:pPr>
            <w:r w:rsidRPr="00555F1B">
              <w:rPr>
                <w:b/>
              </w:rPr>
              <w:t xml:space="preserve">ARTÍCULO 4. VIGENCIA Y DEROGATORIAS: </w:t>
            </w:r>
            <w:r w:rsidRPr="00555F1B">
              <w:t>La presente Ley rige a partir de la fecha de su promulgación y deroga todas las disposiciones que le sean contrarias.</w:t>
            </w:r>
          </w:p>
        </w:tc>
      </w:tr>
    </w:tbl>
    <w:p w:rsidR="00ED4980" w:rsidRPr="00591D98" w:rsidRDefault="00ED4980" w:rsidP="00E725DA">
      <w:pPr>
        <w:pStyle w:val="Sinespaciado"/>
        <w:rPr>
          <w:rFonts w:cs="Arial"/>
        </w:rPr>
      </w:pPr>
    </w:p>
    <w:p w:rsidR="00320AD3" w:rsidRDefault="00722B7D" w:rsidP="00E725DA">
      <w:pPr>
        <w:pStyle w:val="Sinespaciado"/>
        <w:rPr>
          <w:rFonts w:cs="Arial"/>
          <w:b/>
        </w:rPr>
      </w:pPr>
      <w:r w:rsidRPr="001C6DF6">
        <w:rPr>
          <w:b/>
        </w:rPr>
        <w:cr/>
      </w:r>
    </w:p>
    <w:p w:rsidR="00320AD3" w:rsidRDefault="00320AD3" w:rsidP="00E725DA">
      <w:pPr>
        <w:pStyle w:val="Sinespaciado"/>
        <w:rPr>
          <w:rFonts w:cs="Arial"/>
          <w:b/>
        </w:rPr>
      </w:pPr>
    </w:p>
    <w:p w:rsidR="00E725DA" w:rsidRPr="00CA135A" w:rsidRDefault="00E77AAF" w:rsidP="00E725DA">
      <w:pPr>
        <w:pStyle w:val="Sinespaciado"/>
        <w:rPr>
          <w:rFonts w:cs="Arial"/>
          <w:b/>
        </w:rPr>
      </w:pPr>
      <w:r>
        <w:rPr>
          <w:rFonts w:cs="Arial"/>
          <w:b/>
        </w:rPr>
        <w:t>Gerardo Yepes Caro</w:t>
      </w:r>
      <w:r>
        <w:rPr>
          <w:rFonts w:cs="Arial"/>
          <w:b/>
        </w:rPr>
        <w:tab/>
      </w:r>
      <w:r>
        <w:rPr>
          <w:rFonts w:cs="Arial"/>
          <w:b/>
        </w:rPr>
        <w:tab/>
      </w:r>
      <w:r>
        <w:rPr>
          <w:rFonts w:cs="Arial"/>
          <w:b/>
        </w:rPr>
        <w:tab/>
      </w:r>
      <w:r>
        <w:rPr>
          <w:rFonts w:cs="Arial"/>
          <w:b/>
        </w:rPr>
        <w:tab/>
      </w:r>
      <w:r>
        <w:rPr>
          <w:rFonts w:cs="Arial"/>
          <w:b/>
        </w:rPr>
        <w:tab/>
      </w:r>
      <w:r>
        <w:rPr>
          <w:rFonts w:cs="Arial"/>
          <w:b/>
        </w:rPr>
        <w:tab/>
      </w:r>
      <w:r w:rsidR="00320AD3" w:rsidRPr="00CA135A">
        <w:rPr>
          <w:rFonts w:cs="Arial"/>
          <w:b/>
        </w:rPr>
        <w:t>J</w:t>
      </w:r>
      <w:r w:rsidR="00555F1B">
        <w:rPr>
          <w:rFonts w:cs="Arial"/>
          <w:b/>
        </w:rPr>
        <w:t>orge Alexander Quevedo Herrera</w:t>
      </w:r>
      <w:r w:rsidR="00320AD3" w:rsidRPr="00CA135A">
        <w:rPr>
          <w:rFonts w:cs="Arial"/>
          <w:b/>
        </w:rPr>
        <w:tab/>
      </w:r>
    </w:p>
    <w:p w:rsidR="00E725DA" w:rsidRPr="00CA135A" w:rsidRDefault="00E77AAF" w:rsidP="00E725DA">
      <w:pPr>
        <w:pStyle w:val="Sinespaciado"/>
        <w:rPr>
          <w:rFonts w:cs="Arial"/>
        </w:rPr>
      </w:pPr>
      <w:r>
        <w:rPr>
          <w:rFonts w:cs="Arial"/>
        </w:rPr>
        <w:t>Presidente</w:t>
      </w:r>
      <w:r>
        <w:rPr>
          <w:rFonts w:cs="Arial"/>
        </w:rPr>
        <w:tab/>
      </w:r>
      <w:r>
        <w:rPr>
          <w:rFonts w:cs="Arial"/>
        </w:rPr>
        <w:tab/>
      </w:r>
      <w:r w:rsidR="00E725DA" w:rsidRPr="00CA135A">
        <w:rPr>
          <w:rFonts w:cs="Arial"/>
        </w:rPr>
        <w:tab/>
      </w:r>
      <w:r w:rsidR="00E725DA" w:rsidRPr="00CA135A">
        <w:rPr>
          <w:rFonts w:cs="Arial"/>
        </w:rPr>
        <w:tab/>
      </w:r>
      <w:r w:rsidR="00E725DA" w:rsidRPr="00CA135A">
        <w:rPr>
          <w:rFonts w:cs="Arial"/>
        </w:rPr>
        <w:tab/>
      </w:r>
      <w:r w:rsidR="00320AD3">
        <w:rPr>
          <w:rFonts w:cs="Arial"/>
        </w:rPr>
        <w:tab/>
      </w:r>
      <w:r w:rsidR="00320AD3">
        <w:rPr>
          <w:rFonts w:cs="Arial"/>
        </w:rPr>
        <w:tab/>
      </w:r>
      <w:r>
        <w:rPr>
          <w:rFonts w:cs="Arial"/>
        </w:rPr>
        <w:t>Coordinador Ponente</w:t>
      </w:r>
    </w:p>
    <w:p w:rsidR="00E725DA" w:rsidRPr="00CA135A" w:rsidRDefault="00E725DA" w:rsidP="00E725DA">
      <w:pPr>
        <w:pStyle w:val="Sinespaciado"/>
        <w:ind w:left="4950" w:hanging="4950"/>
        <w:rPr>
          <w:rFonts w:cs="Arial"/>
          <w:b/>
        </w:rPr>
      </w:pPr>
    </w:p>
    <w:p w:rsidR="00E725DA" w:rsidRPr="00CA135A" w:rsidRDefault="00E725DA" w:rsidP="00E725DA">
      <w:pPr>
        <w:pBdr>
          <w:top w:val="nil"/>
          <w:left w:val="nil"/>
          <w:bottom w:val="nil"/>
          <w:right w:val="nil"/>
          <w:between w:val="nil"/>
        </w:pBdr>
        <w:spacing w:after="0"/>
        <w:rPr>
          <w:rFonts w:ascii="Arial" w:eastAsia="Arial" w:hAnsi="Arial" w:cs="Arial"/>
          <w:color w:val="000000"/>
        </w:rPr>
      </w:pPr>
    </w:p>
    <w:p w:rsidR="00E725DA" w:rsidRDefault="00E725DA" w:rsidP="00E725DA">
      <w:pPr>
        <w:pStyle w:val="Sinespaciado"/>
        <w:rPr>
          <w:rFonts w:cs="Arial"/>
          <w:b/>
        </w:rPr>
      </w:pPr>
      <w:bookmarkStart w:id="0" w:name="_GoBack"/>
      <w:bookmarkEnd w:id="0"/>
    </w:p>
    <w:p w:rsidR="00E77AAF" w:rsidRDefault="00E77AAF" w:rsidP="00E77AAF">
      <w:pPr>
        <w:pStyle w:val="Sinespaciado"/>
        <w:jc w:val="center"/>
        <w:rPr>
          <w:rFonts w:cs="Arial"/>
          <w:b/>
        </w:rPr>
      </w:pPr>
      <w:r>
        <w:rPr>
          <w:rFonts w:cs="Arial"/>
          <w:b/>
        </w:rPr>
        <w:t>Ricardo Alfonso Albornoz Barreto</w:t>
      </w:r>
    </w:p>
    <w:p w:rsidR="00E77AAF" w:rsidRPr="00E77AAF" w:rsidRDefault="00E77AAF" w:rsidP="00E77AAF">
      <w:pPr>
        <w:pStyle w:val="Sinespaciado"/>
        <w:jc w:val="center"/>
        <w:rPr>
          <w:rFonts w:cs="Arial"/>
        </w:rPr>
      </w:pPr>
      <w:r>
        <w:rPr>
          <w:rFonts w:cs="Arial"/>
        </w:rPr>
        <w:t>Secretario</w:t>
      </w:r>
    </w:p>
    <w:sectPr w:rsidR="00E77AAF" w:rsidRPr="00E77AAF" w:rsidSect="002C21DA">
      <w:headerReference w:type="default" r:id="rId9"/>
      <w:footerReference w:type="default" r:id="rId10"/>
      <w:type w:val="continuous"/>
      <w:pgSz w:w="12240" w:h="15840" w:code="1"/>
      <w:pgMar w:top="1531" w:right="1021" w:bottom="567" w:left="153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F1" w:rsidRDefault="004A0BF1">
      <w:pPr>
        <w:spacing w:after="0" w:line="240" w:lineRule="auto"/>
      </w:pPr>
      <w:r>
        <w:separator/>
      </w:r>
    </w:p>
  </w:endnote>
  <w:endnote w:type="continuationSeparator" w:id="0">
    <w:p w:rsidR="004A0BF1" w:rsidRDefault="004A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555F1B">
      <w:rPr>
        <w:rFonts w:ascii="Arial" w:hAnsi="Arial" w:cs="Arial"/>
        <w:color w:val="4F81BD" w:themeColor="accent1"/>
        <w:sz w:val="16"/>
        <w:szCs w:val="16"/>
        <w:lang w:val="es-ES"/>
      </w:rPr>
      <w:t xml:space="preserve">159 </w:t>
    </w:r>
    <w:r>
      <w:rPr>
        <w:rFonts w:ascii="Arial" w:hAnsi="Arial" w:cs="Arial"/>
        <w:color w:val="4F81BD" w:themeColor="accent1"/>
        <w:sz w:val="16"/>
        <w:szCs w:val="16"/>
        <w:lang w:val="es-ES"/>
      </w:rPr>
      <w:t xml:space="preserve">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053F56" w:rsidRPr="00053F56">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053F56" w:rsidRPr="00053F56">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F1" w:rsidRDefault="004A0BF1">
      <w:pPr>
        <w:spacing w:after="0" w:line="240" w:lineRule="auto"/>
      </w:pPr>
      <w:r>
        <w:separator/>
      </w:r>
    </w:p>
  </w:footnote>
  <w:footnote w:type="continuationSeparator" w:id="0">
    <w:p w:rsidR="004A0BF1" w:rsidRDefault="004A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53F56"/>
    <w:rsid w:val="000740E0"/>
    <w:rsid w:val="000D4049"/>
    <w:rsid w:val="000D59FE"/>
    <w:rsid w:val="000F3249"/>
    <w:rsid w:val="000F3F41"/>
    <w:rsid w:val="00102AC9"/>
    <w:rsid w:val="00106067"/>
    <w:rsid w:val="001303C3"/>
    <w:rsid w:val="00134E23"/>
    <w:rsid w:val="00141A7E"/>
    <w:rsid w:val="00145732"/>
    <w:rsid w:val="001826C3"/>
    <w:rsid w:val="00193E1C"/>
    <w:rsid w:val="001B1C28"/>
    <w:rsid w:val="001B6E7B"/>
    <w:rsid w:val="001C10AB"/>
    <w:rsid w:val="001C6DF6"/>
    <w:rsid w:val="001F7A2A"/>
    <w:rsid w:val="0021638C"/>
    <w:rsid w:val="00217B1E"/>
    <w:rsid w:val="00227978"/>
    <w:rsid w:val="00245986"/>
    <w:rsid w:val="00273C01"/>
    <w:rsid w:val="00290644"/>
    <w:rsid w:val="002A1BAF"/>
    <w:rsid w:val="002C21DA"/>
    <w:rsid w:val="002E6C1D"/>
    <w:rsid w:val="00320AD3"/>
    <w:rsid w:val="00330383"/>
    <w:rsid w:val="00332B24"/>
    <w:rsid w:val="00344B4D"/>
    <w:rsid w:val="00375224"/>
    <w:rsid w:val="00392FE1"/>
    <w:rsid w:val="003B3F8A"/>
    <w:rsid w:val="003C3541"/>
    <w:rsid w:val="003C5D20"/>
    <w:rsid w:val="003D08DE"/>
    <w:rsid w:val="00401837"/>
    <w:rsid w:val="00484475"/>
    <w:rsid w:val="0049721E"/>
    <w:rsid w:val="004A0BF1"/>
    <w:rsid w:val="004B0124"/>
    <w:rsid w:val="004D631D"/>
    <w:rsid w:val="004F0BC8"/>
    <w:rsid w:val="005004BD"/>
    <w:rsid w:val="00523CF6"/>
    <w:rsid w:val="00533F5F"/>
    <w:rsid w:val="00545AF9"/>
    <w:rsid w:val="00555F1B"/>
    <w:rsid w:val="0057061D"/>
    <w:rsid w:val="00584583"/>
    <w:rsid w:val="005970FF"/>
    <w:rsid w:val="005B79B2"/>
    <w:rsid w:val="006020FC"/>
    <w:rsid w:val="006079BE"/>
    <w:rsid w:val="00644D12"/>
    <w:rsid w:val="00645D96"/>
    <w:rsid w:val="0066551C"/>
    <w:rsid w:val="00676A02"/>
    <w:rsid w:val="006A6E00"/>
    <w:rsid w:val="006A6E52"/>
    <w:rsid w:val="006D531F"/>
    <w:rsid w:val="006E594C"/>
    <w:rsid w:val="00703BB5"/>
    <w:rsid w:val="00722B7D"/>
    <w:rsid w:val="00751A35"/>
    <w:rsid w:val="00767847"/>
    <w:rsid w:val="00780935"/>
    <w:rsid w:val="00793F4D"/>
    <w:rsid w:val="007D2959"/>
    <w:rsid w:val="007D3C92"/>
    <w:rsid w:val="007D57EC"/>
    <w:rsid w:val="007F0D11"/>
    <w:rsid w:val="0080316C"/>
    <w:rsid w:val="00806455"/>
    <w:rsid w:val="0083265E"/>
    <w:rsid w:val="00856BE4"/>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A2504"/>
    <w:rsid w:val="00BA6354"/>
    <w:rsid w:val="00BF038C"/>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1148"/>
    <w:rsid w:val="00D7787B"/>
    <w:rsid w:val="00DC1FF5"/>
    <w:rsid w:val="00E02D4A"/>
    <w:rsid w:val="00E2082D"/>
    <w:rsid w:val="00E27292"/>
    <w:rsid w:val="00E725DA"/>
    <w:rsid w:val="00E77AAF"/>
    <w:rsid w:val="00EB3579"/>
    <w:rsid w:val="00ED4980"/>
    <w:rsid w:val="00EF5B1B"/>
    <w:rsid w:val="00F04E2C"/>
    <w:rsid w:val="00F25E2F"/>
    <w:rsid w:val="00F42B0C"/>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D985"/>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 w:type="table" w:customStyle="1" w:styleId="TableNormal1">
    <w:name w:val="Table Normal1"/>
    <w:rsid w:val="00555F1B"/>
    <w:pPr>
      <w:spacing w:after="160" w:line="259"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 w:id="1806313959">
      <w:bodyDiv w:val="1"/>
      <w:marLeft w:val="0"/>
      <w:marRight w:val="0"/>
      <w:marTop w:val="0"/>
      <w:marBottom w:val="0"/>
      <w:divBdr>
        <w:top w:val="none" w:sz="0" w:space="0" w:color="auto"/>
        <w:left w:val="none" w:sz="0" w:space="0" w:color="auto"/>
        <w:bottom w:val="none" w:sz="0" w:space="0" w:color="auto"/>
        <w:right w:val="none" w:sz="0" w:space="0" w:color="auto"/>
      </w:divBdr>
      <w:divsChild>
        <w:div w:id="315694523">
          <w:marLeft w:val="0"/>
          <w:marRight w:val="0"/>
          <w:marTop w:val="0"/>
          <w:marBottom w:val="0"/>
          <w:divBdr>
            <w:top w:val="none" w:sz="0" w:space="0" w:color="auto"/>
            <w:left w:val="none" w:sz="0" w:space="0" w:color="auto"/>
            <w:bottom w:val="none" w:sz="0" w:space="0" w:color="auto"/>
            <w:right w:val="none" w:sz="0" w:space="0" w:color="auto"/>
          </w:divBdr>
        </w:div>
        <w:div w:id="525295528">
          <w:marLeft w:val="0"/>
          <w:marRight w:val="0"/>
          <w:marTop w:val="0"/>
          <w:marBottom w:val="0"/>
          <w:divBdr>
            <w:top w:val="none" w:sz="0" w:space="0" w:color="auto"/>
            <w:left w:val="none" w:sz="0" w:space="0" w:color="auto"/>
            <w:bottom w:val="none" w:sz="0" w:space="0" w:color="auto"/>
            <w:right w:val="none" w:sz="0" w:space="0" w:color="auto"/>
          </w:divBdr>
        </w:div>
        <w:div w:id="329674075">
          <w:marLeft w:val="0"/>
          <w:marRight w:val="0"/>
          <w:marTop w:val="0"/>
          <w:marBottom w:val="0"/>
          <w:divBdr>
            <w:top w:val="none" w:sz="0" w:space="0" w:color="auto"/>
            <w:left w:val="none" w:sz="0" w:space="0" w:color="auto"/>
            <w:bottom w:val="none" w:sz="0" w:space="0" w:color="auto"/>
            <w:right w:val="none" w:sz="0" w:space="0" w:color="auto"/>
          </w:divBdr>
          <w:divsChild>
            <w:div w:id="522865750">
              <w:marLeft w:val="0"/>
              <w:marRight w:val="0"/>
              <w:marTop w:val="0"/>
              <w:marBottom w:val="0"/>
              <w:divBdr>
                <w:top w:val="none" w:sz="0" w:space="0" w:color="auto"/>
                <w:left w:val="none" w:sz="0" w:space="0" w:color="auto"/>
                <w:bottom w:val="none" w:sz="0" w:space="0" w:color="auto"/>
                <w:right w:val="none" w:sz="0" w:space="0" w:color="auto"/>
              </w:divBdr>
              <w:divsChild>
                <w:div w:id="141386816">
                  <w:marLeft w:val="0"/>
                  <w:marRight w:val="0"/>
                  <w:marTop w:val="0"/>
                  <w:marBottom w:val="0"/>
                  <w:divBdr>
                    <w:top w:val="none" w:sz="0" w:space="0" w:color="auto"/>
                    <w:left w:val="none" w:sz="0" w:space="0" w:color="auto"/>
                    <w:bottom w:val="none" w:sz="0" w:space="0" w:color="auto"/>
                    <w:right w:val="none" w:sz="0" w:space="0" w:color="auto"/>
                  </w:divBdr>
                  <w:divsChild>
                    <w:div w:id="1017853492">
                      <w:marLeft w:val="0"/>
                      <w:marRight w:val="0"/>
                      <w:marTop w:val="0"/>
                      <w:marBottom w:val="0"/>
                      <w:divBdr>
                        <w:top w:val="none" w:sz="0" w:space="0" w:color="auto"/>
                        <w:left w:val="none" w:sz="0" w:space="0" w:color="auto"/>
                        <w:bottom w:val="none" w:sz="0" w:space="0" w:color="auto"/>
                        <w:right w:val="none" w:sz="0" w:space="0" w:color="auto"/>
                      </w:divBdr>
                      <w:divsChild>
                        <w:div w:id="16313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6CAC99-2AB8-47FF-894E-E244C960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2025-05-13T20:15:00Z</cp:lastPrinted>
  <dcterms:created xsi:type="dcterms:W3CDTF">2025-05-13T21:26:00Z</dcterms:created>
  <dcterms:modified xsi:type="dcterms:W3CDTF">2025-05-13T21:44:00Z</dcterms:modified>
</cp:coreProperties>
</file>